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FDD8C" w14:textId="77777777" w:rsidR="00461AC8" w:rsidRDefault="00461AC8" w:rsidP="008B115F">
      <w:pPr>
        <w:jc w:val="center"/>
        <w:rPr>
          <w:rFonts w:ascii="Century Gothic" w:hAnsi="Century Gothic" w:cs="Ayuthaya"/>
          <w:b/>
          <w:bCs/>
          <w:sz w:val="48"/>
        </w:rPr>
      </w:pPr>
      <w:r>
        <w:rPr>
          <w:rFonts w:ascii="Century Gothic" w:hAnsi="Century Gothic" w:cs="Ayuthaya"/>
          <w:b/>
          <w:bCs/>
          <w:noProof/>
          <w:sz w:val="48"/>
        </w:rPr>
        <w:drawing>
          <wp:inline distT="0" distB="0" distL="0" distR="0" wp14:anchorId="1A5E390D" wp14:editId="4A1FE133">
            <wp:extent cx="2946878" cy="1238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-SHARKFINDER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73" cy="124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15F">
        <w:rPr>
          <w:rFonts w:ascii="Century Gothic" w:hAnsi="Century Gothic" w:cs="Ayuthaya"/>
          <w:b/>
          <w:bCs/>
          <w:sz w:val="48"/>
        </w:rPr>
        <w:t xml:space="preserve"> </w:t>
      </w:r>
    </w:p>
    <w:p w14:paraId="43E442BF" w14:textId="3F730D5D" w:rsidR="00026B28" w:rsidRDefault="008B115F" w:rsidP="008B115F">
      <w:pPr>
        <w:jc w:val="center"/>
        <w:rPr>
          <w:rFonts w:ascii="Century Gothic" w:hAnsi="Century Gothic" w:cs="Ayuthaya"/>
          <w:b/>
          <w:bCs/>
          <w:sz w:val="48"/>
        </w:rPr>
      </w:pPr>
      <w:r w:rsidRPr="008B115F">
        <w:rPr>
          <w:rFonts w:ascii="Century Gothic" w:hAnsi="Century Gothic" w:cs="Ayuthaya"/>
          <w:b/>
          <w:bCs/>
          <w:sz w:val="48"/>
        </w:rPr>
        <w:t>Background Information</w:t>
      </w:r>
    </w:p>
    <w:p w14:paraId="26E17494" w14:textId="77777777" w:rsidR="008B115F" w:rsidRPr="008B115F" w:rsidRDefault="008B115F" w:rsidP="008B115F">
      <w:pPr>
        <w:jc w:val="center"/>
        <w:rPr>
          <w:rFonts w:ascii="Century Gothic" w:hAnsi="Century Gothic" w:cs="Ayuthaya"/>
          <w:b/>
          <w:bCs/>
          <w:sz w:val="48"/>
        </w:rPr>
      </w:pPr>
    </w:p>
    <w:p w14:paraId="3242076A" w14:textId="77777777" w:rsidR="008B115F" w:rsidRPr="002F4C69" w:rsidRDefault="008B115F" w:rsidP="008B115F">
      <w:pPr>
        <w:rPr>
          <w:rFonts w:ascii="Century Gothic" w:hAnsi="Century Gothic" w:cs="Ayuthaya"/>
          <w:b/>
          <w:bCs/>
          <w:sz w:val="28"/>
        </w:rPr>
      </w:pPr>
      <w:r w:rsidRPr="002F4C69">
        <w:rPr>
          <w:rFonts w:ascii="Century Gothic" w:hAnsi="Century Gothic" w:cs="Ayuthaya"/>
          <w:b/>
          <w:bCs/>
          <w:sz w:val="28"/>
        </w:rPr>
        <w:t>Basal Atco Formation</w:t>
      </w:r>
      <w:r w:rsidR="00ED6744" w:rsidRPr="002F4C69">
        <w:rPr>
          <w:rFonts w:ascii="Century Gothic" w:hAnsi="Century Gothic" w:cs="Ayuthaya"/>
          <w:b/>
          <w:bCs/>
          <w:sz w:val="28"/>
        </w:rPr>
        <w:t xml:space="preserve"> </w:t>
      </w:r>
      <w:r w:rsidR="00CF6F0B" w:rsidRPr="002F4C69">
        <w:rPr>
          <w:rFonts w:ascii="Century Gothic" w:hAnsi="Century Gothic" w:cs="Ayuthaya"/>
          <w:b/>
          <w:bCs/>
          <w:sz w:val="28"/>
        </w:rPr>
        <w:t>and Austin Chalk</w:t>
      </w:r>
    </w:p>
    <w:p w14:paraId="2A234972" w14:textId="77777777" w:rsidR="00ED6744" w:rsidRPr="002F4C69" w:rsidRDefault="00ED6744" w:rsidP="008B115F">
      <w:pPr>
        <w:rPr>
          <w:rFonts w:ascii="Century Gothic" w:hAnsi="Century Gothic" w:cs="Ayuthaya"/>
          <w:bCs/>
          <w:sz w:val="28"/>
        </w:rPr>
      </w:pPr>
      <w:r w:rsidRPr="002F4C69">
        <w:rPr>
          <w:rFonts w:ascii="Century Gothic" w:hAnsi="Century Gothic" w:cs="Ayuthaya"/>
          <w:bCs/>
          <w:sz w:val="28"/>
        </w:rPr>
        <w:t>The Atco Formation</w:t>
      </w:r>
      <w:r w:rsidR="003D78DF" w:rsidRPr="002F4C69">
        <w:rPr>
          <w:rFonts w:ascii="Century Gothic" w:hAnsi="Century Gothic" w:cs="Ayuthaya"/>
          <w:bCs/>
          <w:sz w:val="28"/>
        </w:rPr>
        <w:t xml:space="preserve"> </w:t>
      </w:r>
      <w:r w:rsidR="00CF6F0B" w:rsidRPr="002F4C69">
        <w:rPr>
          <w:rFonts w:ascii="Century Gothic" w:hAnsi="Century Gothic" w:cs="Ayuthaya"/>
          <w:bCs/>
          <w:sz w:val="28"/>
        </w:rPr>
        <w:t xml:space="preserve">is located at the base of the Austin Chalk in Texas which </w:t>
      </w:r>
      <w:r w:rsidR="0002696D" w:rsidRPr="002F4C69">
        <w:rPr>
          <w:rFonts w:ascii="Century Gothic" w:hAnsi="Century Gothic" w:cs="Ayuthaya"/>
          <w:bCs/>
          <w:sz w:val="28"/>
        </w:rPr>
        <w:t>extends from the Rio Grande River northward to San Antonio, through Dallas County and into Red River County.</w:t>
      </w:r>
    </w:p>
    <w:p w14:paraId="26C56F62" w14:textId="77777777" w:rsidR="00CF6F0B" w:rsidRPr="002F4C69" w:rsidRDefault="00CF6F0B" w:rsidP="008B115F">
      <w:pPr>
        <w:rPr>
          <w:rFonts w:ascii="Century Gothic" w:hAnsi="Century Gothic" w:cs="Ayuthaya"/>
          <w:bCs/>
          <w:sz w:val="28"/>
        </w:rPr>
      </w:pPr>
    </w:p>
    <w:p w14:paraId="133F47A4" w14:textId="72B94926" w:rsidR="00556749" w:rsidRDefault="006C017E" w:rsidP="008B115F">
      <w:pPr>
        <w:rPr>
          <w:rFonts w:ascii="Century Gothic" w:hAnsi="Century Gothic" w:cs="Ayuthaya"/>
          <w:bCs/>
          <w:sz w:val="28"/>
        </w:rPr>
      </w:pPr>
      <w:r w:rsidRPr="002F4C69">
        <w:rPr>
          <w:rFonts w:ascii="Century Gothic" w:hAnsi="Century Gothic" w:cs="Ayuthaya"/>
          <w:bCs/>
          <w:sz w:val="28"/>
        </w:rPr>
        <w:t>Strata of the Austin Chalk, including the Atco Formation are fine-grained and consist of chalk, marl and limestone.</w:t>
      </w:r>
      <w:r>
        <w:rPr>
          <w:rFonts w:ascii="Century Gothic" w:hAnsi="Century Gothic" w:cs="Ayuthaya"/>
          <w:bCs/>
          <w:sz w:val="28"/>
        </w:rPr>
        <w:t xml:space="preserve"> </w:t>
      </w:r>
      <w:r w:rsidR="00CF6F0B" w:rsidRPr="002F4C69">
        <w:rPr>
          <w:rFonts w:ascii="Century Gothic" w:hAnsi="Century Gothic" w:cs="Ayuthaya"/>
          <w:bCs/>
          <w:sz w:val="28"/>
        </w:rPr>
        <w:t xml:space="preserve">The Atco Formation </w:t>
      </w:r>
      <w:r>
        <w:rPr>
          <w:rFonts w:ascii="Century Gothic" w:hAnsi="Century Gothic" w:cs="Ayuthaya"/>
          <w:bCs/>
          <w:sz w:val="28"/>
        </w:rPr>
        <w:t xml:space="preserve">also </w:t>
      </w:r>
      <w:r w:rsidR="00CF6F0B" w:rsidRPr="002F4C69">
        <w:rPr>
          <w:rFonts w:ascii="Century Gothic" w:hAnsi="Century Gothic" w:cs="Ayuthaya"/>
          <w:bCs/>
          <w:sz w:val="28"/>
        </w:rPr>
        <w:t>contains marine sedimentation</w:t>
      </w:r>
      <w:r w:rsidR="0002696D" w:rsidRPr="002F4C69">
        <w:rPr>
          <w:rFonts w:ascii="Century Gothic" w:hAnsi="Century Gothic" w:cs="Ayuthaya"/>
          <w:bCs/>
          <w:sz w:val="28"/>
        </w:rPr>
        <w:t xml:space="preserve"> from the upper Cretaceous and Coniacian Stage which occurred approximately 89 million years ago. </w:t>
      </w:r>
      <w:r w:rsidR="00556749">
        <w:rPr>
          <w:rFonts w:ascii="Century Gothic" w:hAnsi="Century Gothic" w:cs="Ayuthaya"/>
          <w:bCs/>
          <w:sz w:val="28"/>
        </w:rPr>
        <w:t>Once referred to as the “fish bed conglomerate” the formation contains elasmobranch fossils.</w:t>
      </w:r>
    </w:p>
    <w:p w14:paraId="4DE16464" w14:textId="77777777" w:rsidR="00556749" w:rsidRDefault="00556749" w:rsidP="008B115F">
      <w:pPr>
        <w:rPr>
          <w:rFonts w:ascii="Century Gothic" w:hAnsi="Century Gothic" w:cs="Ayuthaya"/>
          <w:bCs/>
          <w:sz w:val="28"/>
        </w:rPr>
      </w:pPr>
    </w:p>
    <w:p w14:paraId="14F55593" w14:textId="5BCB9A64" w:rsidR="004E1C7D" w:rsidRPr="002F4C69" w:rsidRDefault="004E1C7D" w:rsidP="008B115F">
      <w:pPr>
        <w:rPr>
          <w:rFonts w:ascii="Century Gothic" w:hAnsi="Century Gothic" w:cs="Ayuthaya"/>
          <w:bCs/>
          <w:sz w:val="28"/>
        </w:rPr>
      </w:pPr>
      <w:r w:rsidRPr="002F4C69">
        <w:rPr>
          <w:rFonts w:ascii="Century Gothic" w:hAnsi="Century Gothic" w:cs="Ayuthaya"/>
          <w:bCs/>
          <w:sz w:val="28"/>
        </w:rPr>
        <w:t xml:space="preserve">The Atco Formation can be correlated with the </w:t>
      </w:r>
      <w:proofErr w:type="spellStart"/>
      <w:r w:rsidRPr="002F4C69">
        <w:rPr>
          <w:rFonts w:ascii="Century Gothic" w:hAnsi="Century Gothic" w:cs="Ayuthaya"/>
          <w:bCs/>
          <w:sz w:val="28"/>
        </w:rPr>
        <w:t>Earnst</w:t>
      </w:r>
      <w:proofErr w:type="spellEnd"/>
      <w:r w:rsidRPr="002F4C69">
        <w:rPr>
          <w:rFonts w:ascii="Century Gothic" w:hAnsi="Century Gothic" w:cs="Ayuthaya"/>
          <w:bCs/>
          <w:sz w:val="28"/>
        </w:rPr>
        <w:t xml:space="preserve"> Member of the </w:t>
      </w:r>
      <w:proofErr w:type="spellStart"/>
      <w:r w:rsidRPr="002F4C69">
        <w:rPr>
          <w:rFonts w:ascii="Century Gothic" w:hAnsi="Century Gothic" w:cs="Ayuthaya"/>
          <w:bCs/>
          <w:sz w:val="28"/>
        </w:rPr>
        <w:t>Boquillas</w:t>
      </w:r>
      <w:proofErr w:type="spellEnd"/>
      <w:r w:rsidRPr="002F4C69">
        <w:rPr>
          <w:rFonts w:ascii="Century Gothic" w:hAnsi="Century Gothic" w:cs="Ayuthaya"/>
          <w:bCs/>
          <w:sz w:val="28"/>
        </w:rPr>
        <w:t xml:space="preserve"> Formation in Texas based on occurrence of </w:t>
      </w:r>
      <w:proofErr w:type="spellStart"/>
      <w:r w:rsidRPr="002F4C69">
        <w:rPr>
          <w:rFonts w:ascii="Century Gothic" w:hAnsi="Century Gothic" w:cs="Ayuthaya"/>
          <w:bCs/>
          <w:i/>
          <w:sz w:val="28"/>
        </w:rPr>
        <w:t>Allocrioceras</w:t>
      </w:r>
      <w:proofErr w:type="spellEnd"/>
      <w:r w:rsidRPr="002F4C69">
        <w:rPr>
          <w:rFonts w:ascii="Century Gothic" w:hAnsi="Century Gothic" w:cs="Ayuthaya"/>
          <w:bCs/>
          <w:i/>
          <w:sz w:val="28"/>
        </w:rPr>
        <w:t xml:space="preserve"> </w:t>
      </w:r>
      <w:proofErr w:type="spellStart"/>
      <w:r w:rsidRPr="002F4C69">
        <w:rPr>
          <w:rFonts w:ascii="Century Gothic" w:hAnsi="Century Gothic" w:cs="Ayuthaya"/>
          <w:bCs/>
          <w:i/>
          <w:sz w:val="28"/>
        </w:rPr>
        <w:t>hazzardi</w:t>
      </w:r>
      <w:proofErr w:type="spellEnd"/>
      <w:r w:rsidRPr="002F4C69">
        <w:rPr>
          <w:rFonts w:ascii="Century Gothic" w:hAnsi="Century Gothic" w:cs="Ayuthaya"/>
          <w:bCs/>
          <w:i/>
          <w:sz w:val="28"/>
        </w:rPr>
        <w:t xml:space="preserve"> </w:t>
      </w:r>
      <w:r w:rsidRPr="002F4C69">
        <w:rPr>
          <w:rFonts w:ascii="Century Gothic" w:hAnsi="Century Gothic" w:cs="Ayuthaya"/>
          <w:bCs/>
          <w:sz w:val="28"/>
        </w:rPr>
        <w:t>and</w:t>
      </w:r>
      <w:r w:rsidR="0094200B" w:rsidRPr="002F4C69">
        <w:rPr>
          <w:rFonts w:ascii="Century Gothic" w:hAnsi="Century Gothic" w:cs="Ayuthaya"/>
          <w:bCs/>
          <w:sz w:val="28"/>
        </w:rPr>
        <w:t xml:space="preserve"> </w:t>
      </w:r>
      <w:proofErr w:type="spellStart"/>
      <w:r w:rsidRPr="002F4C69">
        <w:rPr>
          <w:rFonts w:ascii="Century Gothic" w:hAnsi="Century Gothic" w:cs="Ayuthaya"/>
          <w:bCs/>
          <w:i/>
          <w:sz w:val="28"/>
        </w:rPr>
        <w:t>Peroniceras</w:t>
      </w:r>
      <w:proofErr w:type="spellEnd"/>
      <w:r w:rsidRPr="002F4C69">
        <w:rPr>
          <w:rFonts w:ascii="Century Gothic" w:hAnsi="Century Gothic" w:cs="Ayuthaya"/>
          <w:bCs/>
          <w:i/>
          <w:sz w:val="28"/>
        </w:rPr>
        <w:t xml:space="preserve"> </w:t>
      </w:r>
      <w:proofErr w:type="spellStart"/>
      <w:r w:rsidRPr="002F4C69">
        <w:rPr>
          <w:rFonts w:ascii="Century Gothic" w:hAnsi="Century Gothic" w:cs="Ayuthaya"/>
          <w:bCs/>
          <w:i/>
          <w:sz w:val="28"/>
        </w:rPr>
        <w:t>lepeei</w:t>
      </w:r>
      <w:proofErr w:type="spellEnd"/>
      <w:r w:rsidRPr="002F4C69">
        <w:rPr>
          <w:rFonts w:ascii="Century Gothic" w:hAnsi="Century Gothic" w:cs="Ayuthaya"/>
          <w:bCs/>
          <w:i/>
          <w:sz w:val="28"/>
        </w:rPr>
        <w:t xml:space="preserve">. </w:t>
      </w:r>
      <w:r w:rsidRPr="002F4C69">
        <w:rPr>
          <w:rFonts w:ascii="Century Gothic" w:hAnsi="Century Gothic" w:cs="Ayuthaya"/>
          <w:bCs/>
          <w:sz w:val="28"/>
        </w:rPr>
        <w:t xml:space="preserve">The </w:t>
      </w:r>
      <w:proofErr w:type="spellStart"/>
      <w:r w:rsidRPr="002F4C69">
        <w:rPr>
          <w:rFonts w:ascii="Century Gothic" w:hAnsi="Century Gothic" w:cs="Ayuthaya"/>
          <w:bCs/>
          <w:sz w:val="28"/>
        </w:rPr>
        <w:t>Boquillas</w:t>
      </w:r>
      <w:proofErr w:type="spellEnd"/>
      <w:r w:rsidRPr="002F4C69">
        <w:rPr>
          <w:rFonts w:ascii="Century Gothic" w:hAnsi="Century Gothic" w:cs="Ayuthaya"/>
          <w:bCs/>
          <w:sz w:val="28"/>
        </w:rPr>
        <w:t xml:space="preserve"> Formation was deposited during the Late Cretaceous and is located in West Texas at Big Bend National Park.</w:t>
      </w:r>
      <w:r w:rsidR="00381F16" w:rsidRPr="002F4C69">
        <w:rPr>
          <w:rFonts w:ascii="Century Gothic" w:hAnsi="Century Gothic" w:cs="Ayuthaya"/>
          <w:bCs/>
          <w:sz w:val="28"/>
        </w:rPr>
        <w:t xml:space="preserve"> </w:t>
      </w:r>
    </w:p>
    <w:p w14:paraId="620DEBB0" w14:textId="77777777" w:rsidR="0078280B" w:rsidRDefault="0078280B" w:rsidP="008B115F">
      <w:pPr>
        <w:rPr>
          <w:rFonts w:ascii="Century Gothic" w:hAnsi="Century Gothic" w:cs="Ayuthaya"/>
          <w:bCs/>
        </w:rPr>
      </w:pPr>
    </w:p>
    <w:p w14:paraId="2CEED31C" w14:textId="77777777" w:rsidR="0094200B" w:rsidRDefault="0094200B" w:rsidP="008B115F">
      <w:pPr>
        <w:rPr>
          <w:rFonts w:ascii="Century Gothic" w:hAnsi="Century Gothic" w:cs="Ayuthaya"/>
          <w:bCs/>
        </w:rPr>
      </w:pPr>
    </w:p>
    <w:p w14:paraId="3C0B9A0F" w14:textId="77777777" w:rsidR="00BF253F" w:rsidRDefault="00BF253F" w:rsidP="008B115F">
      <w:pPr>
        <w:rPr>
          <w:rFonts w:ascii="Century Gothic" w:hAnsi="Century Gothic" w:cs="Ayuthaya"/>
          <w:bCs/>
        </w:rPr>
      </w:pPr>
    </w:p>
    <w:p w14:paraId="2421F7F5" w14:textId="77777777" w:rsidR="00BF253F" w:rsidRDefault="00BF253F" w:rsidP="008B115F">
      <w:pPr>
        <w:rPr>
          <w:rFonts w:ascii="Century Gothic" w:hAnsi="Century Gothic" w:cs="Ayuthaya"/>
          <w:bCs/>
        </w:rPr>
      </w:pPr>
    </w:p>
    <w:p w14:paraId="463248EC" w14:textId="77777777" w:rsidR="00BF253F" w:rsidRDefault="00BF253F" w:rsidP="008B115F">
      <w:pPr>
        <w:rPr>
          <w:rFonts w:ascii="Century Gothic" w:hAnsi="Century Gothic" w:cs="Ayuthaya"/>
          <w:bCs/>
        </w:rPr>
      </w:pPr>
    </w:p>
    <w:p w14:paraId="12245430" w14:textId="77777777" w:rsidR="00BF253F" w:rsidRDefault="00BF253F" w:rsidP="008B115F">
      <w:pPr>
        <w:rPr>
          <w:rFonts w:ascii="Century Gothic" w:hAnsi="Century Gothic" w:cs="Ayuthaya"/>
          <w:bCs/>
        </w:rPr>
      </w:pPr>
    </w:p>
    <w:p w14:paraId="16BE6FBC" w14:textId="77777777" w:rsidR="00BF253F" w:rsidRDefault="00BF253F" w:rsidP="008B115F">
      <w:pPr>
        <w:rPr>
          <w:rFonts w:ascii="Century Gothic" w:hAnsi="Century Gothic" w:cs="Ayuthaya"/>
          <w:bCs/>
        </w:rPr>
      </w:pPr>
    </w:p>
    <w:p w14:paraId="22D13EEA" w14:textId="77777777" w:rsidR="00BF253F" w:rsidRDefault="00BF253F" w:rsidP="008B115F">
      <w:pPr>
        <w:rPr>
          <w:rFonts w:ascii="Century Gothic" w:hAnsi="Century Gothic" w:cs="Ayuthaya"/>
          <w:bCs/>
        </w:rPr>
      </w:pPr>
    </w:p>
    <w:p w14:paraId="506752A6" w14:textId="77777777" w:rsidR="00BF253F" w:rsidRDefault="00BF253F" w:rsidP="008B115F">
      <w:pPr>
        <w:rPr>
          <w:rFonts w:ascii="Century Gothic" w:hAnsi="Century Gothic" w:cs="Ayuthaya"/>
          <w:bCs/>
        </w:rPr>
      </w:pPr>
    </w:p>
    <w:p w14:paraId="26DA9AA0" w14:textId="77777777" w:rsidR="00BF253F" w:rsidRDefault="00BF253F" w:rsidP="008B115F">
      <w:pPr>
        <w:rPr>
          <w:rFonts w:ascii="Century Gothic" w:hAnsi="Century Gothic" w:cs="Ayuthaya"/>
          <w:bCs/>
        </w:rPr>
      </w:pPr>
    </w:p>
    <w:p w14:paraId="2B6AAA51" w14:textId="77777777" w:rsidR="00BF253F" w:rsidRDefault="00BF253F" w:rsidP="008B115F">
      <w:pPr>
        <w:rPr>
          <w:rFonts w:ascii="Century Gothic" w:hAnsi="Century Gothic" w:cs="Ayuthaya"/>
          <w:bCs/>
        </w:rPr>
      </w:pPr>
    </w:p>
    <w:p w14:paraId="7B259A31" w14:textId="77777777" w:rsidR="00153009" w:rsidRDefault="00153009" w:rsidP="00BF253F">
      <w:pPr>
        <w:pStyle w:val="Footer"/>
        <w:rPr>
          <w:sz w:val="20"/>
          <w:szCs w:val="20"/>
        </w:rPr>
      </w:pPr>
    </w:p>
    <w:p w14:paraId="6C99352C" w14:textId="77777777" w:rsidR="00153009" w:rsidRDefault="00153009" w:rsidP="00BF253F">
      <w:pPr>
        <w:pStyle w:val="Footer"/>
        <w:rPr>
          <w:sz w:val="20"/>
          <w:szCs w:val="20"/>
        </w:rPr>
      </w:pPr>
    </w:p>
    <w:p w14:paraId="4C99BE10" w14:textId="77777777" w:rsidR="00153009" w:rsidRDefault="00153009" w:rsidP="00BF253F">
      <w:pPr>
        <w:pStyle w:val="Footer"/>
        <w:rPr>
          <w:sz w:val="20"/>
          <w:szCs w:val="20"/>
        </w:rPr>
      </w:pPr>
    </w:p>
    <w:p w14:paraId="411D4700" w14:textId="77777777" w:rsidR="00153009" w:rsidRDefault="00153009" w:rsidP="00BF253F">
      <w:pPr>
        <w:pStyle w:val="Footer"/>
        <w:rPr>
          <w:sz w:val="20"/>
          <w:szCs w:val="20"/>
        </w:rPr>
      </w:pPr>
    </w:p>
    <w:p w14:paraId="1B39A704" w14:textId="77777777" w:rsidR="00153009" w:rsidRDefault="00153009" w:rsidP="00BF253F">
      <w:pPr>
        <w:pStyle w:val="Footer"/>
        <w:rPr>
          <w:sz w:val="20"/>
          <w:szCs w:val="20"/>
        </w:rPr>
      </w:pPr>
    </w:p>
    <w:p w14:paraId="0DC8FA08" w14:textId="77777777" w:rsidR="00153009" w:rsidRDefault="00153009" w:rsidP="00BF253F">
      <w:pPr>
        <w:pStyle w:val="Footer"/>
        <w:rPr>
          <w:sz w:val="20"/>
          <w:szCs w:val="20"/>
        </w:rPr>
      </w:pPr>
    </w:p>
    <w:p w14:paraId="722CB382" w14:textId="77777777" w:rsidR="00153009" w:rsidRDefault="00153009" w:rsidP="00BF253F">
      <w:pPr>
        <w:pStyle w:val="Footer"/>
        <w:rPr>
          <w:sz w:val="20"/>
          <w:szCs w:val="20"/>
        </w:rPr>
      </w:pPr>
    </w:p>
    <w:p w14:paraId="1781769B" w14:textId="62122E32" w:rsidR="00BF253F" w:rsidRPr="00BF253F" w:rsidRDefault="00BF253F" w:rsidP="00BF253F">
      <w:pPr>
        <w:pStyle w:val="Footer"/>
        <w:rPr>
          <w:sz w:val="20"/>
          <w:szCs w:val="20"/>
        </w:rPr>
      </w:pPr>
      <w:r w:rsidRPr="00914237">
        <w:rPr>
          <w:sz w:val="20"/>
          <w:szCs w:val="20"/>
        </w:rPr>
        <w:t xml:space="preserve">Citation: Hamm, Shawn A. and </w:t>
      </w:r>
      <w:proofErr w:type="spellStart"/>
      <w:r w:rsidRPr="00914237">
        <w:rPr>
          <w:sz w:val="20"/>
          <w:szCs w:val="20"/>
        </w:rPr>
        <w:t>Cicimurri</w:t>
      </w:r>
      <w:proofErr w:type="spellEnd"/>
      <w:r w:rsidRPr="00914237">
        <w:rPr>
          <w:sz w:val="20"/>
          <w:szCs w:val="20"/>
        </w:rPr>
        <w:t xml:space="preserve">, David J. 2011. Early Coniacian (Late Cretaceous) </w:t>
      </w:r>
      <w:proofErr w:type="spellStart"/>
      <w:r w:rsidRPr="00914237">
        <w:rPr>
          <w:sz w:val="20"/>
          <w:szCs w:val="20"/>
        </w:rPr>
        <w:t>Selachian</w:t>
      </w:r>
      <w:proofErr w:type="spellEnd"/>
      <w:r w:rsidRPr="00914237">
        <w:rPr>
          <w:sz w:val="20"/>
          <w:szCs w:val="20"/>
        </w:rPr>
        <w:t xml:space="preserve"> Fauna from the Basal Atco Formation, Lower Austin Group, North Central Texas. </w:t>
      </w:r>
      <w:proofErr w:type="spellStart"/>
      <w:r w:rsidRPr="00914237">
        <w:rPr>
          <w:sz w:val="20"/>
          <w:szCs w:val="20"/>
        </w:rPr>
        <w:t>Paludicola</w:t>
      </w:r>
      <w:proofErr w:type="spellEnd"/>
      <w:r w:rsidRPr="00914237">
        <w:rPr>
          <w:sz w:val="20"/>
          <w:szCs w:val="20"/>
        </w:rPr>
        <w:t xml:space="preserve"> 8(3): 107-127.</w:t>
      </w:r>
    </w:p>
    <w:p w14:paraId="7F99C2DA" w14:textId="77777777" w:rsidR="005356BD" w:rsidRDefault="00197643" w:rsidP="00BF253F">
      <w:pPr>
        <w:jc w:val="center"/>
        <w:rPr>
          <w:rFonts w:ascii="Century Gothic" w:hAnsi="Century Gothic" w:cs="Ayuthaya"/>
          <w:b/>
          <w:bCs/>
          <w:sz w:val="32"/>
        </w:rPr>
      </w:pPr>
      <w:r>
        <w:rPr>
          <w:rFonts w:ascii="Century Gothic" w:hAnsi="Century Gothic" w:cs="Ayuthaya"/>
          <w:bCs/>
          <w:noProof/>
          <w:sz w:val="48"/>
        </w:rPr>
        <w:lastRenderedPageBreak/>
        <w:drawing>
          <wp:inline distT="0" distB="0" distL="0" distR="0" wp14:anchorId="139DA278" wp14:editId="216E83FA">
            <wp:extent cx="5926455" cy="4525645"/>
            <wp:effectExtent l="0" t="0" r="0" b="0"/>
            <wp:docPr id="2" name="Picture 2" descr="Screen%20Shot%202017-11-07%20at%209.45.0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11-07%20at%209.45.07%20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yuthaya"/>
          <w:bCs/>
          <w:noProof/>
          <w:sz w:val="48"/>
        </w:rPr>
        <w:drawing>
          <wp:inline distT="0" distB="0" distL="0" distR="0" wp14:anchorId="608EB1A6" wp14:editId="484405EE">
            <wp:extent cx="5926455" cy="3576320"/>
            <wp:effectExtent l="0" t="0" r="0" b="5080"/>
            <wp:docPr id="3" name="Picture 3" descr="Screen%20Shot%202017-11-07%20at%209.45.3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11-07%20at%209.45.36%20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00726" w14:textId="77777777" w:rsidR="005356BD" w:rsidRDefault="005356BD" w:rsidP="00BF253F">
      <w:pPr>
        <w:jc w:val="center"/>
        <w:rPr>
          <w:rFonts w:ascii="Century Gothic" w:hAnsi="Century Gothic" w:cs="Ayuthaya"/>
          <w:b/>
          <w:bCs/>
          <w:sz w:val="32"/>
        </w:rPr>
      </w:pPr>
    </w:p>
    <w:p w14:paraId="4455D7AC" w14:textId="77777777" w:rsidR="005356BD" w:rsidRPr="00914237" w:rsidRDefault="005356BD" w:rsidP="005356BD">
      <w:pPr>
        <w:pStyle w:val="Footer"/>
        <w:rPr>
          <w:sz w:val="20"/>
          <w:szCs w:val="20"/>
        </w:rPr>
      </w:pPr>
      <w:r w:rsidRPr="00914237">
        <w:rPr>
          <w:sz w:val="20"/>
          <w:szCs w:val="20"/>
        </w:rPr>
        <w:t xml:space="preserve">Citation: Hamm, Shawn A. and </w:t>
      </w:r>
      <w:proofErr w:type="spellStart"/>
      <w:r w:rsidRPr="00914237">
        <w:rPr>
          <w:sz w:val="20"/>
          <w:szCs w:val="20"/>
        </w:rPr>
        <w:t>Cicimurri</w:t>
      </w:r>
      <w:proofErr w:type="spellEnd"/>
      <w:r w:rsidRPr="00914237">
        <w:rPr>
          <w:sz w:val="20"/>
          <w:szCs w:val="20"/>
        </w:rPr>
        <w:t xml:space="preserve">, David J. 2011. Early Coniacian (Late Cretaceous) </w:t>
      </w:r>
      <w:proofErr w:type="spellStart"/>
      <w:r w:rsidRPr="00914237">
        <w:rPr>
          <w:sz w:val="20"/>
          <w:szCs w:val="20"/>
        </w:rPr>
        <w:t>Selachian</w:t>
      </w:r>
      <w:proofErr w:type="spellEnd"/>
      <w:r w:rsidRPr="00914237">
        <w:rPr>
          <w:sz w:val="20"/>
          <w:szCs w:val="20"/>
        </w:rPr>
        <w:t xml:space="preserve"> Fauna from the Basal Atco Formation, Lower Austin Group, North Central Texas. </w:t>
      </w:r>
      <w:proofErr w:type="spellStart"/>
      <w:r w:rsidRPr="00914237">
        <w:rPr>
          <w:sz w:val="20"/>
          <w:szCs w:val="20"/>
        </w:rPr>
        <w:t>Paludicola</w:t>
      </w:r>
      <w:proofErr w:type="spellEnd"/>
      <w:r w:rsidRPr="00914237">
        <w:rPr>
          <w:sz w:val="20"/>
          <w:szCs w:val="20"/>
        </w:rPr>
        <w:t xml:space="preserve"> 8(3): 107-127.</w:t>
      </w:r>
    </w:p>
    <w:p w14:paraId="48CEFBE5" w14:textId="77777777" w:rsidR="005356BD" w:rsidRDefault="005356BD" w:rsidP="00BF253F">
      <w:pPr>
        <w:jc w:val="center"/>
        <w:rPr>
          <w:rFonts w:ascii="Century Gothic" w:hAnsi="Century Gothic" w:cs="Ayuthaya"/>
          <w:b/>
          <w:bCs/>
          <w:sz w:val="32"/>
        </w:rPr>
      </w:pPr>
    </w:p>
    <w:p w14:paraId="2FE1B830" w14:textId="504903BF" w:rsidR="002318B1" w:rsidRPr="002318B1" w:rsidRDefault="002318B1" w:rsidP="002318B1">
      <w:pPr>
        <w:rPr>
          <w:rFonts w:ascii="Century Gothic" w:hAnsi="Century Gothic" w:cs="Ayuthaya"/>
          <w:bCs/>
        </w:rPr>
      </w:pPr>
      <w:bookmarkStart w:id="0" w:name="_GoBack"/>
      <w:bookmarkEnd w:id="0"/>
    </w:p>
    <w:sectPr w:rsidR="002318B1" w:rsidRPr="002318B1" w:rsidSect="005356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DD464" w14:textId="77777777" w:rsidR="00D058D0" w:rsidRDefault="00D058D0" w:rsidP="00197643">
      <w:r>
        <w:separator/>
      </w:r>
    </w:p>
  </w:endnote>
  <w:endnote w:type="continuationSeparator" w:id="0">
    <w:p w14:paraId="0A7713C3" w14:textId="77777777" w:rsidR="00D058D0" w:rsidRDefault="00D058D0" w:rsidP="00197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Ayuthaya">
    <w:panose1 w:val="00000400000000000000"/>
    <w:charset w:val="DE"/>
    <w:family w:val="swiss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BA99F" w14:textId="77777777" w:rsidR="00D058D0" w:rsidRDefault="00D058D0" w:rsidP="00197643">
      <w:r>
        <w:separator/>
      </w:r>
    </w:p>
  </w:footnote>
  <w:footnote w:type="continuationSeparator" w:id="0">
    <w:p w14:paraId="0B6B3DE7" w14:textId="77777777" w:rsidR="00D058D0" w:rsidRDefault="00D058D0" w:rsidP="001976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15F"/>
    <w:rsid w:val="0002696D"/>
    <w:rsid w:val="00055BFE"/>
    <w:rsid w:val="00063510"/>
    <w:rsid w:val="000854B6"/>
    <w:rsid w:val="00153009"/>
    <w:rsid w:val="00197643"/>
    <w:rsid w:val="001B5146"/>
    <w:rsid w:val="002318B1"/>
    <w:rsid w:val="002D712A"/>
    <w:rsid w:val="002F4C69"/>
    <w:rsid w:val="00381F16"/>
    <w:rsid w:val="003B480D"/>
    <w:rsid w:val="003C42B7"/>
    <w:rsid w:val="003D78DF"/>
    <w:rsid w:val="00461AC8"/>
    <w:rsid w:val="004E1C7D"/>
    <w:rsid w:val="005356BD"/>
    <w:rsid w:val="00556749"/>
    <w:rsid w:val="005E3F94"/>
    <w:rsid w:val="0062668B"/>
    <w:rsid w:val="006A4440"/>
    <w:rsid w:val="006C017E"/>
    <w:rsid w:val="0078280B"/>
    <w:rsid w:val="008B115F"/>
    <w:rsid w:val="00914237"/>
    <w:rsid w:val="0094200B"/>
    <w:rsid w:val="00B847AD"/>
    <w:rsid w:val="00B87E40"/>
    <w:rsid w:val="00BF253F"/>
    <w:rsid w:val="00CF6F0B"/>
    <w:rsid w:val="00D058D0"/>
    <w:rsid w:val="00DE3B58"/>
    <w:rsid w:val="00E15449"/>
    <w:rsid w:val="00ED6744"/>
    <w:rsid w:val="00F0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B8E7E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8280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76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643"/>
  </w:style>
  <w:style w:type="paragraph" w:styleId="Footer">
    <w:name w:val="footer"/>
    <w:basedOn w:val="Normal"/>
    <w:link w:val="FooterChar"/>
    <w:uiPriority w:val="99"/>
    <w:unhideWhenUsed/>
    <w:rsid w:val="001976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4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Granado</dc:creator>
  <cp:keywords/>
  <dc:description/>
  <cp:lastModifiedBy>Gabriela Granado</cp:lastModifiedBy>
  <cp:revision>6</cp:revision>
  <dcterms:created xsi:type="dcterms:W3CDTF">2017-11-07T16:24:00Z</dcterms:created>
  <dcterms:modified xsi:type="dcterms:W3CDTF">2018-11-29T20:12:00Z</dcterms:modified>
</cp:coreProperties>
</file>